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10080"/>
      </w:tblGrid>
      <w:tr>
        <w:tc>
          <w:tcPr>
            <w:tcW w:type="dxa" w:w="9360"/>
            <w:shd w:val="clear" w:color="auto" w:fill="0F172A"/>
          </w:tcPr>
          <w:p>
            <w:pPr>
              <w:spacing w:before="160" w:after="0"/>
            </w:pPr>
            <w:r/>
            <w:r>
              <w:rPr>
                <w:rFonts w:ascii="Arial" w:hAnsi="Arial"/>
                <w:b/>
                <w:color w:val="22C55E"/>
                <w:sz w:val="18"/>
              </w:rPr>
              <w:t>ROUNDDROP · PRE-SEED TEMPLATE</w:t>
            </w:r>
          </w:p>
          <w:p>
            <w:pPr>
              <w:spacing w:after="0"/>
            </w:pPr>
            <w:r>
              <w:rPr>
                <w:rFonts w:ascii="Arial" w:hAnsi="Arial"/>
                <w:b/>
                <w:color w:val="FFFFFF"/>
                <w:sz w:val="44"/>
              </w:rPr>
              <w:t>IP &amp; Equity Hygiene Checklist</w:t>
            </w:r>
          </w:p>
          <w:p>
            <w:pPr>
              <w:spacing w:after="200"/>
            </w:pPr>
            <w:r>
              <w:rPr>
                <w:rFonts w:ascii="Arial" w:hAnsi="Arial"/>
                <w:i/>
                <w:color w:val="FFFFFF"/>
                <w:sz w:val="20"/>
              </w:rPr>
              <w:t>The corporate-hygiene questions investors ask first at pre-seed. Get to all green before outreach.</w:t>
            </w:r>
          </w:p>
        </w:tc>
      </w:tr>
    </w:tbl>
    <w:p/>
    <w:p>
      <w:pPr>
        <w:spacing w:after="80"/>
      </w:pPr>
      <w:r>
        <w:rPr>
          <w:rFonts w:ascii="Arial" w:hAnsi="Arial"/>
          <w:i w:val="0"/>
          <w:color w:val="0F172A"/>
          <w:sz w:val="21"/>
        </w:rPr>
        <w:t>Why this matters</w:t>
      </w:r>
    </w:p>
    <w:p>
      <w:pPr>
        <w:spacing w:after="80"/>
      </w:pPr>
      <w:r>
        <w:rPr>
          <w:rFonts w:ascii="Arial" w:hAnsi="Arial"/>
          <w:i w:val="0"/>
          <w:color w:val="64748B"/>
          <w:sz w:val="21"/>
        </w:rPr>
        <w:t>At pre-seed there's no revenue to audit, so investors lean hardest on people, equity, and IP. Most rounds that fall apart at diligence fall apart on something in this list. Walk through it now, before you start raising.</w:t>
      </w:r>
    </w:p>
    <w:p>
      <w:pPr>
        <w:spacing w:before="240" w:after="80"/>
      </w:pPr>
      <w:r>
        <w:rPr>
          <w:rFonts w:ascii="Arial" w:hAnsi="Arial"/>
          <w:b/>
          <w:color w:val="0F172A"/>
          <w:sz w:val="28"/>
        </w:rPr>
        <w:t>Company formation</w:t>
      </w:r>
    </w:p>
    <w:p>
      <w:pPr>
        <w:spacing w:after="40"/>
      </w:pPr>
      <w:r>
        <w:rPr>
          <w:rFonts w:ascii="Arial" w:hAnsi="Arial"/>
          <w:color w:val="0F172A"/>
          <w:sz w:val="24"/>
        </w:rPr>
        <w:t xml:space="preserve">☐  </w:t>
      </w:r>
      <w:r>
        <w:rPr>
          <w:rFonts w:ascii="Arial" w:hAnsi="Arial"/>
          <w:color w:val="0F172A"/>
          <w:sz w:val="21"/>
        </w:rPr>
        <w:t>Delaware C-Corporation (or PBC) - not LLC, not foreign entity (Canada is the common exception).</w:t>
      </w:r>
    </w:p>
    <w:p>
      <w:pPr>
        <w:spacing w:after="80"/>
        <w:ind w:left="432"/>
      </w:pPr>
      <w:r>
        <w:rPr>
          <w:rFonts w:ascii="Arial" w:hAnsi="Arial"/>
          <w:i/>
          <w:color w:val="64748B"/>
          <w:sz w:val="19"/>
        </w:rPr>
        <w:t>Why: most VCs and SAFEs assume Delaware C-corp. Conversions later are painful.</w:t>
      </w:r>
    </w:p>
    <w:p>
      <w:pPr>
        <w:spacing w:after="40"/>
      </w:pPr>
      <w:r>
        <w:rPr>
          <w:rFonts w:ascii="Arial" w:hAnsi="Arial"/>
          <w:color w:val="0F172A"/>
          <w:sz w:val="24"/>
        </w:rPr>
        <w:t xml:space="preserve">☐  </w:t>
      </w:r>
      <w:r>
        <w:rPr>
          <w:rFonts w:ascii="Arial" w:hAnsi="Arial"/>
          <w:color w:val="0F172A"/>
          <w:sz w:val="21"/>
        </w:rPr>
        <w:t>Filed initial Beneficial Ownership Information (BOI) report with FinCEN.</w:t>
      </w:r>
    </w:p>
    <w:p>
      <w:pPr>
        <w:spacing w:after="80"/>
        <w:ind w:left="432"/>
      </w:pPr>
      <w:r>
        <w:rPr>
          <w:rFonts w:ascii="Arial" w:hAnsi="Arial"/>
          <w:i/>
          <w:color w:val="64748B"/>
          <w:sz w:val="19"/>
        </w:rPr>
        <w:t>Why: federal requirement under the Corporate Transparency Act.</w:t>
      </w:r>
    </w:p>
    <w:p>
      <w:pPr>
        <w:spacing w:after="40"/>
      </w:pPr>
      <w:r>
        <w:rPr>
          <w:rFonts w:ascii="Arial" w:hAnsi="Arial"/>
          <w:color w:val="0F172A"/>
          <w:sz w:val="24"/>
        </w:rPr>
        <w:t xml:space="preserve">☐  </w:t>
      </w:r>
      <w:r>
        <w:rPr>
          <w:rFonts w:ascii="Arial" w:hAnsi="Arial"/>
          <w:color w:val="0F172A"/>
          <w:sz w:val="21"/>
        </w:rPr>
        <w:t>Corporate records folder exists: cert of incorporation, bylaws, EIN letter, board consents.</w:t>
      </w:r>
    </w:p>
    <w:p>
      <w:pPr>
        <w:spacing w:after="80"/>
        <w:ind w:left="432"/>
      </w:pPr>
      <w:r>
        <w:rPr>
          <w:rFonts w:ascii="Arial" w:hAnsi="Arial"/>
          <w:i/>
          <w:color w:val="64748B"/>
          <w:sz w:val="19"/>
        </w:rPr>
        <w:t>Why: investors expect a one-click data room.</w:t>
      </w:r>
    </w:p>
    <w:p>
      <w:pPr>
        <w:spacing w:after="40"/>
      </w:pPr>
      <w:r>
        <w:rPr>
          <w:rFonts w:ascii="Arial" w:hAnsi="Arial"/>
          <w:color w:val="0F172A"/>
          <w:sz w:val="24"/>
        </w:rPr>
        <w:t xml:space="preserve">☐  </w:t>
      </w:r>
      <w:r>
        <w:rPr>
          <w:rFonts w:ascii="Arial" w:hAnsi="Arial"/>
          <w:color w:val="0F172A"/>
          <w:sz w:val="21"/>
        </w:rPr>
        <w:t>If operating outside your state of incorporation, qualified to do business there.</w:t>
      </w:r>
    </w:p>
    <w:p>
      <w:pPr>
        <w:spacing w:after="80"/>
        <w:ind w:left="432"/>
      </w:pPr>
      <w:r>
        <w:rPr>
          <w:rFonts w:ascii="Arial" w:hAnsi="Arial"/>
          <w:i/>
          <w:color w:val="64748B"/>
          <w:sz w:val="19"/>
        </w:rPr>
        <w:t>Why: avoids fines and tax exposure.</w:t>
      </w:r>
    </w:p>
    <w:p>
      <w:pPr>
        <w:spacing w:before="240" w:after="80"/>
      </w:pPr>
      <w:r>
        <w:rPr>
          <w:rFonts w:ascii="Arial" w:hAnsi="Arial"/>
          <w:b/>
          <w:color w:val="0F172A"/>
          <w:sz w:val="28"/>
        </w:rPr>
        <w:t>Founder equity &amp; vesting</w:t>
      </w:r>
    </w:p>
    <w:p>
      <w:pPr>
        <w:spacing w:after="40"/>
      </w:pPr>
      <w:r>
        <w:rPr>
          <w:rFonts w:ascii="Arial" w:hAnsi="Arial"/>
          <w:color w:val="0F172A"/>
          <w:sz w:val="24"/>
        </w:rPr>
        <w:t xml:space="preserve">☐  </w:t>
      </w:r>
      <w:r>
        <w:rPr>
          <w:rFonts w:ascii="Arial" w:hAnsi="Arial"/>
          <w:color w:val="0F172A"/>
          <w:sz w:val="21"/>
        </w:rPr>
        <w:t>Founder stock issued by board consent (in writing).</w:t>
      </w:r>
    </w:p>
    <w:p>
      <w:pPr>
        <w:spacing w:after="80"/>
        <w:ind w:left="432"/>
      </w:pPr>
      <w:r>
        <w:rPr>
          <w:rFonts w:ascii="Arial" w:hAnsi="Arial"/>
          <w:i/>
          <w:color w:val="64748B"/>
          <w:sz w:val="19"/>
        </w:rPr>
        <w:t>Why: oral promises don't survive diligence.</w:t>
      </w:r>
    </w:p>
    <w:p>
      <w:pPr>
        <w:spacing w:after="40"/>
      </w:pPr>
      <w:r>
        <w:rPr>
          <w:rFonts w:ascii="Arial" w:hAnsi="Arial"/>
          <w:color w:val="0F172A"/>
          <w:sz w:val="24"/>
        </w:rPr>
        <w:t xml:space="preserve">☐  </w:t>
      </w:r>
      <w:r>
        <w:rPr>
          <w:rFonts w:ascii="Arial" w:hAnsi="Arial"/>
          <w:color w:val="0F172A"/>
          <w:sz w:val="21"/>
        </w:rPr>
        <w:t>Each founder on a 4-year vesting schedule with 1-year cliff.</w:t>
      </w:r>
    </w:p>
    <w:p>
      <w:pPr>
        <w:spacing w:after="80"/>
        <w:ind w:left="432"/>
      </w:pPr>
      <w:r>
        <w:rPr>
          <w:rFonts w:ascii="Arial" w:hAnsi="Arial"/>
          <w:i/>
          <w:color w:val="64748B"/>
          <w:sz w:val="19"/>
        </w:rPr>
        <w:t>Why: co-founder turnover happens. Vesting protects the cap table.</w:t>
      </w:r>
    </w:p>
    <w:p>
      <w:pPr>
        <w:spacing w:after="40"/>
      </w:pPr>
      <w:r>
        <w:rPr>
          <w:rFonts w:ascii="Arial" w:hAnsi="Arial"/>
          <w:color w:val="0F172A"/>
          <w:sz w:val="24"/>
        </w:rPr>
        <w:t xml:space="preserve">☐  </w:t>
      </w:r>
      <w:r>
        <w:rPr>
          <w:rFonts w:ascii="Arial" w:hAnsi="Arial"/>
          <w:color w:val="0F172A"/>
          <w:sz w:val="21"/>
        </w:rPr>
        <w:t>Section 83(b) elections filed within 30 days of stock issuance.</w:t>
      </w:r>
    </w:p>
    <w:p>
      <w:pPr>
        <w:spacing w:after="80"/>
        <w:ind w:left="432"/>
      </w:pPr>
      <w:r>
        <w:rPr>
          <w:rFonts w:ascii="Arial" w:hAnsi="Arial"/>
          <w:i/>
          <w:color w:val="64748B"/>
          <w:sz w:val="19"/>
        </w:rPr>
        <w:t>Why: missing this means founders owe ordinary-income tax as the stock vests. Painful and expensive.</w:t>
      </w:r>
    </w:p>
    <w:p>
      <w:pPr>
        <w:spacing w:after="40"/>
      </w:pPr>
      <w:r>
        <w:rPr>
          <w:rFonts w:ascii="Arial" w:hAnsi="Arial"/>
          <w:color w:val="0F172A"/>
          <w:sz w:val="24"/>
        </w:rPr>
        <w:t xml:space="preserve">☐  </w:t>
      </w:r>
      <w:r>
        <w:rPr>
          <w:rFonts w:ascii="Arial" w:hAnsi="Arial"/>
          <w:color w:val="0F172A"/>
          <w:sz w:val="21"/>
        </w:rPr>
        <w:t>No "handshake" promises of equity to anyone (advisors, contractors, employees, friends).</w:t>
      </w:r>
    </w:p>
    <w:p>
      <w:pPr>
        <w:spacing w:after="80"/>
        <w:ind w:left="432"/>
      </w:pPr>
      <w:r>
        <w:rPr>
          <w:rFonts w:ascii="Arial" w:hAnsi="Arial"/>
          <w:i/>
          <w:color w:val="64748B"/>
          <w:sz w:val="19"/>
        </w:rPr>
        <w:t>Why: every promised share will surface in diligence.</w:t>
      </w:r>
    </w:p>
    <w:p>
      <w:pPr>
        <w:spacing w:after="40"/>
      </w:pPr>
      <w:r>
        <w:rPr>
          <w:rFonts w:ascii="Arial" w:hAnsi="Arial"/>
          <w:color w:val="0F172A"/>
          <w:sz w:val="24"/>
        </w:rPr>
        <w:t xml:space="preserve">☐  </w:t>
      </w:r>
      <w:r>
        <w:rPr>
          <w:rFonts w:ascii="Arial" w:hAnsi="Arial"/>
          <w:color w:val="0F172A"/>
          <w:sz w:val="21"/>
        </w:rPr>
        <w:t>Departed founders (if any) have signed separation paperwork. Cap-table position is clean.</w:t>
      </w:r>
    </w:p>
    <w:p>
      <w:pPr>
        <w:spacing w:after="80"/>
        <w:ind w:left="432"/>
      </w:pPr>
      <w:r>
        <w:rPr>
          <w:rFonts w:ascii="Arial" w:hAnsi="Arial"/>
          <w:i/>
          <w:color w:val="64748B"/>
          <w:sz w:val="19"/>
        </w:rPr>
        <w:t>Why: dead equity on the cap table kills deals.</w:t>
      </w:r>
    </w:p>
    <w:p>
      <w:pPr>
        <w:spacing w:before="240" w:after="80"/>
      </w:pPr>
      <w:r>
        <w:rPr>
          <w:rFonts w:ascii="Arial" w:hAnsi="Arial"/>
          <w:b/>
          <w:color w:val="0F172A"/>
          <w:sz w:val="28"/>
        </w:rPr>
        <w:t>IP assignment &amp; PIIAs</w:t>
      </w:r>
    </w:p>
    <w:p>
      <w:pPr>
        <w:spacing w:after="40"/>
      </w:pPr>
      <w:r>
        <w:rPr>
          <w:rFonts w:ascii="Arial" w:hAnsi="Arial"/>
          <w:color w:val="0F172A"/>
          <w:sz w:val="24"/>
        </w:rPr>
        <w:t xml:space="preserve">☐  </w:t>
      </w:r>
      <w:r>
        <w:rPr>
          <w:rFonts w:ascii="Arial" w:hAnsi="Arial"/>
          <w:color w:val="0F172A"/>
          <w:sz w:val="21"/>
        </w:rPr>
        <w:t>PIIA (Proprietary Information &amp; Inventions Assignment) signed by every founder.</w:t>
      </w:r>
    </w:p>
    <w:p>
      <w:pPr>
        <w:spacing w:after="80"/>
        <w:ind w:left="432"/>
      </w:pPr>
      <w:r>
        <w:rPr>
          <w:rFonts w:ascii="Arial" w:hAnsi="Arial"/>
          <w:i/>
          <w:color w:val="64748B"/>
          <w:sz w:val="19"/>
        </w:rPr>
        <w:t>Why: assigns prior + current work product to the company.</w:t>
      </w:r>
    </w:p>
    <w:p>
      <w:pPr>
        <w:spacing w:after="40"/>
      </w:pPr>
      <w:r>
        <w:rPr>
          <w:rFonts w:ascii="Arial" w:hAnsi="Arial"/>
          <w:color w:val="0F172A"/>
          <w:sz w:val="24"/>
        </w:rPr>
        <w:t xml:space="preserve">☐  </w:t>
      </w:r>
      <w:r>
        <w:rPr>
          <w:rFonts w:ascii="Arial" w:hAnsi="Arial"/>
          <w:color w:val="0F172A"/>
          <w:sz w:val="21"/>
        </w:rPr>
        <w:t>PIIA signed by every contractor, including designers, freelancers, and the cousin who built the landing page.</w:t>
      </w:r>
    </w:p>
    <w:p>
      <w:pPr>
        <w:spacing w:after="80"/>
        <w:ind w:left="432"/>
      </w:pPr>
      <w:r>
        <w:rPr>
          <w:rFonts w:ascii="Arial" w:hAnsi="Arial"/>
          <w:i/>
          <w:color w:val="64748B"/>
          <w:sz w:val="19"/>
        </w:rPr>
        <w:t>Why: one unsigned contractor can cloud title to your entire product.</w:t>
      </w:r>
    </w:p>
    <w:p>
      <w:pPr>
        <w:spacing w:after="40"/>
      </w:pPr>
      <w:r>
        <w:rPr>
          <w:rFonts w:ascii="Arial" w:hAnsi="Arial"/>
          <w:color w:val="0F172A"/>
          <w:sz w:val="24"/>
        </w:rPr>
        <w:t xml:space="preserve">☐  </w:t>
      </w:r>
      <w:r>
        <w:rPr>
          <w:rFonts w:ascii="Arial" w:hAnsi="Arial"/>
          <w:color w:val="0F172A"/>
          <w:sz w:val="21"/>
        </w:rPr>
        <w:t>PIIA signed by every employee (W-2) and intern.</w:t>
      </w:r>
    </w:p>
    <w:p>
      <w:pPr>
        <w:spacing w:after="80"/>
        <w:ind w:left="432"/>
      </w:pPr>
      <w:r>
        <w:rPr>
          <w:rFonts w:ascii="Arial" w:hAnsi="Arial"/>
          <w:i/>
          <w:color w:val="64748B"/>
          <w:sz w:val="19"/>
        </w:rPr>
        <w:t>Why: same as contractors, plus employment-law reasons.</w:t>
      </w:r>
    </w:p>
    <w:p>
      <w:pPr>
        <w:spacing w:after="40"/>
      </w:pPr>
      <w:r>
        <w:rPr>
          <w:rFonts w:ascii="Arial" w:hAnsi="Arial"/>
          <w:color w:val="0F172A"/>
          <w:sz w:val="24"/>
        </w:rPr>
        <w:t xml:space="preserve">☐  </w:t>
      </w:r>
      <w:r>
        <w:rPr>
          <w:rFonts w:ascii="Arial" w:hAnsi="Arial"/>
          <w:color w:val="0F172A"/>
          <w:sz w:val="21"/>
        </w:rPr>
        <w:t>Prior-employer review done: nothing in the product or your contributions infringes a prior IP-assignment agreement.</w:t>
      </w:r>
    </w:p>
    <w:p>
      <w:pPr>
        <w:spacing w:after="80"/>
        <w:ind w:left="432"/>
      </w:pPr>
      <w:r>
        <w:rPr>
          <w:rFonts w:ascii="Arial" w:hAnsi="Arial"/>
          <w:i/>
          <w:color w:val="64748B"/>
          <w:sz w:val="19"/>
        </w:rPr>
        <w:t>Why: previous employers can claim ownership if your work overlaps with theirs.</w:t>
      </w:r>
    </w:p>
    <w:p>
      <w:pPr>
        <w:spacing w:after="40"/>
      </w:pPr>
      <w:r>
        <w:rPr>
          <w:rFonts w:ascii="Arial" w:hAnsi="Arial"/>
          <w:color w:val="0F172A"/>
          <w:sz w:val="24"/>
        </w:rPr>
        <w:t xml:space="preserve">☐  </w:t>
      </w:r>
      <w:r>
        <w:rPr>
          <w:rFonts w:ascii="Arial" w:hAnsi="Arial"/>
          <w:color w:val="0F172A"/>
          <w:sz w:val="21"/>
        </w:rPr>
        <w:t>Open-source dependencies catalogued, with licenses listed (especially anything copyleft like GPL).</w:t>
      </w:r>
    </w:p>
    <w:p>
      <w:pPr>
        <w:spacing w:after="80"/>
        <w:ind w:left="432"/>
      </w:pPr>
      <w:r>
        <w:rPr>
          <w:rFonts w:ascii="Arial" w:hAnsi="Arial"/>
          <w:i/>
          <w:color w:val="64748B"/>
          <w:sz w:val="19"/>
        </w:rPr>
        <w:t>Why: GPL-style licenses can force you to open-source your product.</w:t>
      </w:r>
    </w:p>
    <w:p>
      <w:pPr>
        <w:spacing w:after="40"/>
      </w:pPr>
      <w:r>
        <w:rPr>
          <w:rFonts w:ascii="Arial" w:hAnsi="Arial"/>
          <w:color w:val="0F172A"/>
          <w:sz w:val="24"/>
        </w:rPr>
        <w:t xml:space="preserve">☐  </w:t>
      </w:r>
      <w:r>
        <w:rPr>
          <w:rFonts w:ascii="Arial" w:hAnsi="Arial"/>
          <w:color w:val="0F172A"/>
          <w:sz w:val="21"/>
        </w:rPr>
        <w:t>If you have patents, trademarks, or domains, they are filed in the company's name (not founders' personal names).</w:t>
      </w:r>
    </w:p>
    <w:p>
      <w:pPr>
        <w:spacing w:after="80"/>
        <w:ind w:left="432"/>
      </w:pPr>
      <w:r>
        <w:rPr>
          <w:rFonts w:ascii="Arial" w:hAnsi="Arial"/>
          <w:i/>
          <w:color w:val="64748B"/>
          <w:sz w:val="19"/>
        </w:rPr>
        <w:t>Why: personal ownership creates a transfer event later.</w:t>
      </w:r>
    </w:p>
    <w:p>
      <w:pPr>
        <w:spacing w:before="240" w:after="80"/>
      </w:pPr>
      <w:r>
        <w:rPr>
          <w:rFonts w:ascii="Arial" w:hAnsi="Arial"/>
          <w:b/>
          <w:color w:val="0F172A"/>
          <w:sz w:val="28"/>
        </w:rPr>
        <w:t>Cap table &amp; equity instruments</w:t>
      </w:r>
    </w:p>
    <w:p>
      <w:pPr>
        <w:spacing w:after="40"/>
      </w:pPr>
      <w:r>
        <w:rPr>
          <w:rFonts w:ascii="Arial" w:hAnsi="Arial"/>
          <w:color w:val="0F172A"/>
          <w:sz w:val="24"/>
        </w:rPr>
        <w:t xml:space="preserve">☐  </w:t>
      </w:r>
      <w:r>
        <w:rPr>
          <w:rFonts w:ascii="Arial" w:hAnsi="Arial"/>
          <w:color w:val="0F172A"/>
          <w:sz w:val="21"/>
        </w:rPr>
        <w:t>Cap table is on an electronic platform (Carta, Pulley, AngelList, Cake, etc.) - not just a spreadsheet.</w:t>
      </w:r>
    </w:p>
    <w:p>
      <w:pPr>
        <w:spacing w:after="80"/>
        <w:ind w:left="432"/>
      </w:pPr>
      <w:r>
        <w:rPr>
          <w:rFonts w:ascii="Arial" w:hAnsi="Arial"/>
          <w:i/>
          <w:color w:val="64748B"/>
          <w:sz w:val="19"/>
        </w:rPr>
        <w:t>Why: investors will ask for an export. Spreadsheets drift.</w:t>
      </w:r>
    </w:p>
    <w:p>
      <w:pPr>
        <w:spacing w:after="40"/>
      </w:pPr>
      <w:r>
        <w:rPr>
          <w:rFonts w:ascii="Arial" w:hAnsi="Arial"/>
          <w:color w:val="0F172A"/>
          <w:sz w:val="24"/>
        </w:rPr>
        <w:t xml:space="preserve">☐  </w:t>
      </w:r>
      <w:r>
        <w:rPr>
          <w:rFonts w:ascii="Arial" w:hAnsi="Arial"/>
          <w:color w:val="0F172A"/>
          <w:sz w:val="21"/>
        </w:rPr>
        <w:t>Stock incentive plan adopted (if any options issued) with board approval.</w:t>
      </w:r>
    </w:p>
    <w:p>
      <w:pPr>
        <w:spacing w:after="80"/>
        <w:ind w:left="432"/>
      </w:pPr>
      <w:r>
        <w:rPr>
          <w:rFonts w:ascii="Arial" w:hAnsi="Arial"/>
          <w:i/>
          <w:color w:val="64748B"/>
          <w:sz w:val="19"/>
        </w:rPr>
        <w:t>Why: options issued without an adopted plan are problematic.</w:t>
      </w:r>
    </w:p>
    <w:p>
      <w:pPr>
        <w:spacing w:after="40"/>
      </w:pPr>
      <w:r>
        <w:rPr>
          <w:rFonts w:ascii="Arial" w:hAnsi="Arial"/>
          <w:color w:val="0F172A"/>
          <w:sz w:val="24"/>
        </w:rPr>
        <w:t xml:space="preserve">☐  </w:t>
      </w:r>
      <w:r>
        <w:rPr>
          <w:rFonts w:ascii="Arial" w:hAnsi="Arial"/>
          <w:color w:val="0F172A"/>
          <w:sz w:val="21"/>
        </w:rPr>
        <w:t>409A valuation obtained before any options are granted.</w:t>
      </w:r>
    </w:p>
    <w:p>
      <w:pPr>
        <w:spacing w:after="80"/>
        <w:ind w:left="432"/>
      </w:pPr>
      <w:r>
        <w:rPr>
          <w:rFonts w:ascii="Arial" w:hAnsi="Arial"/>
          <w:i/>
          <w:color w:val="64748B"/>
          <w:sz w:val="19"/>
        </w:rPr>
        <w:t>Why: gives the board a defensible strike-price basis.</w:t>
      </w:r>
    </w:p>
    <w:p>
      <w:pPr>
        <w:spacing w:after="40"/>
      </w:pPr>
      <w:r>
        <w:rPr>
          <w:rFonts w:ascii="Arial" w:hAnsi="Arial"/>
          <w:color w:val="0F172A"/>
          <w:sz w:val="24"/>
        </w:rPr>
        <w:t xml:space="preserve">☐  </w:t>
      </w:r>
      <w:r>
        <w:rPr>
          <w:rFonts w:ascii="Arial" w:hAnsi="Arial"/>
          <w:color w:val="0F172A"/>
          <w:sz w:val="21"/>
        </w:rPr>
        <w:t>All SAFEs and convertible notes listed centrally. You can name the total $ raised and the lowest cap from memory.</w:t>
      </w:r>
    </w:p>
    <w:p>
      <w:pPr>
        <w:spacing w:after="80"/>
        <w:ind w:left="432"/>
      </w:pPr>
      <w:r>
        <w:rPr>
          <w:rFonts w:ascii="Arial" w:hAnsi="Arial"/>
          <w:i/>
          <w:color w:val="64748B"/>
          <w:sz w:val="19"/>
        </w:rPr>
        <w:t>Why: SAFEs don't reference each other - you're the only one tracking them.</w:t>
      </w:r>
    </w:p>
    <w:p>
      <w:pPr>
        <w:spacing w:after="40"/>
      </w:pPr>
      <w:r>
        <w:rPr>
          <w:rFonts w:ascii="Arial" w:hAnsi="Arial"/>
          <w:color w:val="0F172A"/>
          <w:sz w:val="24"/>
        </w:rPr>
        <w:t xml:space="preserve">☐  </w:t>
      </w:r>
      <w:r>
        <w:rPr>
          <w:rFonts w:ascii="Arial" w:hAnsi="Arial"/>
          <w:color w:val="0F172A"/>
          <w:sz w:val="21"/>
        </w:rPr>
        <w:t>No entity (advisor, accelerator, agency) owns more than 5% without a clear story for why.</w:t>
      </w:r>
    </w:p>
    <w:p>
      <w:pPr>
        <w:spacing w:after="80"/>
        <w:ind w:left="432"/>
      </w:pPr>
      <w:r>
        <w:rPr>
          <w:rFonts w:ascii="Arial" w:hAnsi="Arial"/>
          <w:i/>
          <w:color w:val="64748B"/>
          <w:sz w:val="19"/>
        </w:rPr>
        <w:t>Why: large non-founder positions raise questions about the future cap table.</w:t>
      </w:r>
    </w:p>
    <w:p>
      <w:pPr>
        <w:spacing w:before="240" w:after="80"/>
      </w:pPr>
      <w:r>
        <w:rPr>
          <w:rFonts w:ascii="Arial" w:hAnsi="Arial"/>
          <w:b/>
          <w:color w:val="0F172A"/>
          <w:sz w:val="28"/>
        </w:rPr>
        <w:t>Employment &amp; contractors</w:t>
      </w:r>
    </w:p>
    <w:p>
      <w:pPr>
        <w:spacing w:after="40"/>
      </w:pPr>
      <w:r>
        <w:rPr>
          <w:rFonts w:ascii="Arial" w:hAnsi="Arial"/>
          <w:color w:val="0F172A"/>
          <w:sz w:val="24"/>
        </w:rPr>
        <w:t xml:space="preserve">☐  </w:t>
      </w:r>
      <w:r>
        <w:rPr>
          <w:rFonts w:ascii="Arial" w:hAnsi="Arial"/>
          <w:color w:val="0F172A"/>
          <w:sz w:val="21"/>
        </w:rPr>
        <w:t>All employees properly classified as exempt or non-exempt.</w:t>
      </w:r>
    </w:p>
    <w:p>
      <w:pPr>
        <w:spacing w:after="80"/>
        <w:ind w:left="432"/>
      </w:pPr>
      <w:r>
        <w:rPr>
          <w:rFonts w:ascii="Arial" w:hAnsi="Arial"/>
          <w:i/>
          <w:color w:val="64748B"/>
          <w:sz w:val="19"/>
        </w:rPr>
        <w:t>Why: misclassification creates wage-and-hour liability.</w:t>
      </w:r>
    </w:p>
    <w:p>
      <w:pPr>
        <w:spacing w:after="40"/>
      </w:pPr>
      <w:r>
        <w:rPr>
          <w:rFonts w:ascii="Arial" w:hAnsi="Arial"/>
          <w:color w:val="0F172A"/>
          <w:sz w:val="24"/>
        </w:rPr>
        <w:t xml:space="preserve">☐  </w:t>
      </w:r>
      <w:r>
        <w:rPr>
          <w:rFonts w:ascii="Arial" w:hAnsi="Arial"/>
          <w:color w:val="0F172A"/>
          <w:sz w:val="21"/>
        </w:rPr>
        <w:t>All contractors properly classified as contractors (not de facto employees).</w:t>
      </w:r>
    </w:p>
    <w:p>
      <w:pPr>
        <w:spacing w:after="80"/>
        <w:ind w:left="432"/>
      </w:pPr>
      <w:r>
        <w:rPr>
          <w:rFonts w:ascii="Arial" w:hAnsi="Arial"/>
          <w:i/>
          <w:color w:val="64748B"/>
          <w:sz w:val="19"/>
        </w:rPr>
        <w:t>Why: states (especially CA, NY, MA) are aggressive on this.</w:t>
      </w:r>
    </w:p>
    <w:p>
      <w:pPr>
        <w:spacing w:after="40"/>
      </w:pPr>
      <w:r>
        <w:rPr>
          <w:rFonts w:ascii="Arial" w:hAnsi="Arial"/>
          <w:color w:val="0F172A"/>
          <w:sz w:val="24"/>
        </w:rPr>
        <w:t xml:space="preserve">☐  </w:t>
      </w:r>
      <w:r>
        <w:rPr>
          <w:rFonts w:ascii="Arial" w:hAnsi="Arial"/>
          <w:color w:val="0F172A"/>
          <w:sz w:val="21"/>
        </w:rPr>
        <w:t>Offer letters issued and signed for every employee.</w:t>
      </w:r>
    </w:p>
    <w:p>
      <w:pPr>
        <w:spacing w:after="80"/>
        <w:ind w:left="432"/>
      </w:pPr>
      <w:r>
        <w:rPr>
          <w:rFonts w:ascii="Arial" w:hAnsi="Arial"/>
          <w:i/>
          <w:color w:val="64748B"/>
          <w:sz w:val="19"/>
        </w:rPr>
        <w:t>Why: documents at-will status, comp, equity, role.</w:t>
      </w:r>
    </w:p>
    <w:p>
      <w:pPr>
        <w:spacing w:after="40"/>
      </w:pPr>
      <w:r>
        <w:rPr>
          <w:rFonts w:ascii="Arial" w:hAnsi="Arial"/>
          <w:color w:val="0F172A"/>
          <w:sz w:val="24"/>
        </w:rPr>
        <w:t xml:space="preserve">☐  </w:t>
      </w:r>
      <w:r>
        <w:rPr>
          <w:rFonts w:ascii="Arial" w:hAnsi="Arial"/>
          <w:color w:val="0F172A"/>
          <w:sz w:val="21"/>
        </w:rPr>
        <w:t>If using EOR/PEO for international hires, agreements are in place and known to investors.</w:t>
      </w:r>
    </w:p>
    <w:p>
      <w:pPr>
        <w:spacing w:after="80"/>
        <w:ind w:left="432"/>
      </w:pPr>
      <w:r>
        <w:rPr>
          <w:rFonts w:ascii="Arial" w:hAnsi="Arial"/>
          <w:i/>
          <w:color w:val="64748B"/>
          <w:sz w:val="19"/>
        </w:rPr>
        <w:t>Why: surprises around international ops slow deals.</w:t>
      </w:r>
    </w:p>
    <w:p>
      <w:pPr>
        <w:spacing w:before="240" w:after="80"/>
      </w:pPr>
      <w:r>
        <w:rPr>
          <w:rFonts w:ascii="Arial" w:hAnsi="Arial"/>
          <w:b/>
          <w:color w:val="0F172A"/>
          <w:sz w:val="28"/>
        </w:rPr>
        <w:t>Banking, finances, insurance</w:t>
      </w:r>
    </w:p>
    <w:p>
      <w:pPr>
        <w:spacing w:after="40"/>
      </w:pPr>
      <w:r>
        <w:rPr>
          <w:rFonts w:ascii="Arial" w:hAnsi="Arial"/>
          <w:color w:val="0F172A"/>
          <w:sz w:val="24"/>
        </w:rPr>
        <w:t xml:space="preserve">☐  </w:t>
      </w:r>
      <w:r>
        <w:rPr>
          <w:rFonts w:ascii="Arial" w:hAnsi="Arial"/>
          <w:color w:val="0F172A"/>
          <w:sz w:val="21"/>
        </w:rPr>
        <w:t>Corporate bank account opened in the company's name.</w:t>
      </w:r>
    </w:p>
    <w:p>
      <w:pPr>
        <w:spacing w:after="80"/>
        <w:ind w:left="432"/>
      </w:pPr>
      <w:r>
        <w:rPr>
          <w:rFonts w:ascii="Arial" w:hAnsi="Arial"/>
          <w:i/>
          <w:color w:val="64748B"/>
          <w:sz w:val="19"/>
        </w:rPr>
        <w:t>Why: commingling personal and company funds is a red flag.</w:t>
      </w:r>
    </w:p>
    <w:p>
      <w:pPr>
        <w:spacing w:after="40"/>
      </w:pPr>
      <w:r>
        <w:rPr>
          <w:rFonts w:ascii="Arial" w:hAnsi="Arial"/>
          <w:color w:val="0F172A"/>
          <w:sz w:val="24"/>
        </w:rPr>
        <w:t xml:space="preserve">☐  </w:t>
      </w:r>
      <w:r>
        <w:rPr>
          <w:rFonts w:ascii="Arial" w:hAnsi="Arial"/>
          <w:color w:val="0F172A"/>
          <w:sz w:val="21"/>
        </w:rPr>
        <w:t>Backup banking partner identified (post-SVB, this is now standard).</w:t>
      </w:r>
    </w:p>
    <w:p>
      <w:pPr>
        <w:spacing w:after="80"/>
        <w:ind w:left="432"/>
      </w:pPr>
      <w:r>
        <w:rPr>
          <w:rFonts w:ascii="Arial" w:hAnsi="Arial"/>
          <w:i/>
          <w:color w:val="64748B"/>
          <w:sz w:val="19"/>
        </w:rPr>
        <w:t>Why: ability to move funds matters if your primary fails.</w:t>
      </w:r>
    </w:p>
    <w:p>
      <w:pPr>
        <w:spacing w:after="40"/>
      </w:pPr>
      <w:r>
        <w:rPr>
          <w:rFonts w:ascii="Arial" w:hAnsi="Arial"/>
          <w:color w:val="0F172A"/>
          <w:sz w:val="24"/>
        </w:rPr>
        <w:t xml:space="preserve">☐  </w:t>
      </w:r>
      <w:r>
        <w:rPr>
          <w:rFonts w:ascii="Arial" w:hAnsi="Arial"/>
          <w:color w:val="0F172A"/>
          <w:sz w:val="21"/>
        </w:rPr>
        <w:t>Basic business insurance in place (general liability; E&amp;O if you're delivering services).</w:t>
      </w:r>
    </w:p>
    <w:p>
      <w:pPr>
        <w:spacing w:after="80"/>
        <w:ind w:left="432"/>
      </w:pPr>
      <w:r>
        <w:rPr>
          <w:rFonts w:ascii="Arial" w:hAnsi="Arial"/>
          <w:i/>
          <w:color w:val="64748B"/>
          <w:sz w:val="19"/>
        </w:rPr>
        <w:t>Why: small premiums, big downside protection.</w:t>
      </w:r>
    </w:p>
    <w:p>
      <w:pPr>
        <w:spacing w:after="40"/>
      </w:pPr>
      <w:r>
        <w:rPr>
          <w:rFonts w:ascii="Arial" w:hAnsi="Arial"/>
          <w:color w:val="0F172A"/>
          <w:sz w:val="24"/>
        </w:rPr>
        <w:t xml:space="preserve">☐  </w:t>
      </w:r>
      <w:r>
        <w:rPr>
          <w:rFonts w:ascii="Arial" w:hAnsi="Arial"/>
          <w:color w:val="0F172A"/>
          <w:sz w:val="21"/>
        </w:rPr>
        <w:t>Founder salaries documented - current and planned post-close.</w:t>
      </w:r>
    </w:p>
    <w:p>
      <w:pPr>
        <w:spacing w:after="80"/>
        <w:ind w:left="432"/>
      </w:pPr>
      <w:r>
        <w:rPr>
          <w:rFonts w:ascii="Arial" w:hAnsi="Arial"/>
          <w:i/>
          <w:color w:val="64748B"/>
          <w:sz w:val="19"/>
        </w:rPr>
        <w:t>Why: investors don't want founders running on fumes.</w:t>
      </w:r>
    </w:p>
    <w:p>
      <w:pPr>
        <w:spacing w:before="240" w:after="80"/>
      </w:pPr>
      <w:r>
        <w:rPr>
          <w:rFonts w:ascii="Arial" w:hAnsi="Arial"/>
          <w:b/>
          <w:color w:val="0F172A"/>
          <w:sz w:val="28"/>
        </w:rPr>
        <w:t>Legal, privacy, compliance</w:t>
      </w:r>
    </w:p>
    <w:p>
      <w:pPr>
        <w:spacing w:after="40"/>
      </w:pPr>
      <w:r>
        <w:rPr>
          <w:rFonts w:ascii="Arial" w:hAnsi="Arial"/>
          <w:color w:val="0F172A"/>
          <w:sz w:val="24"/>
        </w:rPr>
        <w:t xml:space="preserve">☐  </w:t>
      </w:r>
      <w:r>
        <w:rPr>
          <w:rFonts w:ascii="Arial" w:hAnsi="Arial"/>
          <w:color w:val="0F172A"/>
          <w:sz w:val="21"/>
        </w:rPr>
        <w:t>Litigation disclosure prepared - or a clean "none" statement.</w:t>
      </w:r>
    </w:p>
    <w:p>
      <w:pPr>
        <w:spacing w:after="80"/>
        <w:ind w:left="432"/>
      </w:pPr>
      <w:r>
        <w:rPr>
          <w:rFonts w:ascii="Arial" w:hAnsi="Arial"/>
          <w:i/>
          <w:color w:val="64748B"/>
          <w:sz w:val="19"/>
        </w:rPr>
        <w:t>Why: investors will ask. Don't get caught.</w:t>
      </w:r>
    </w:p>
    <w:p>
      <w:pPr>
        <w:spacing w:after="40"/>
      </w:pPr>
      <w:r>
        <w:rPr>
          <w:rFonts w:ascii="Arial" w:hAnsi="Arial"/>
          <w:color w:val="0F172A"/>
          <w:sz w:val="24"/>
        </w:rPr>
        <w:t xml:space="preserve">☐  </w:t>
      </w:r>
      <w:r>
        <w:rPr>
          <w:rFonts w:ascii="Arial" w:hAnsi="Arial"/>
          <w:color w:val="0F172A"/>
          <w:sz w:val="21"/>
        </w:rPr>
        <w:t>Privacy policy and terms of service published (if product is live or collects data).</w:t>
      </w:r>
    </w:p>
    <w:p>
      <w:pPr>
        <w:spacing w:after="80"/>
        <w:ind w:left="432"/>
      </w:pPr>
      <w:r>
        <w:rPr>
          <w:rFonts w:ascii="Arial" w:hAnsi="Arial"/>
          <w:i/>
          <w:color w:val="64748B"/>
          <w:sz w:val="19"/>
        </w:rPr>
        <w:t>Why: required for app stores, payments, and most jurisdictions.</w:t>
      </w:r>
    </w:p>
    <w:p>
      <w:pPr>
        <w:spacing w:after="40"/>
      </w:pPr>
      <w:r>
        <w:rPr>
          <w:rFonts w:ascii="Arial" w:hAnsi="Arial"/>
          <w:color w:val="0F172A"/>
          <w:sz w:val="24"/>
        </w:rPr>
        <w:t xml:space="preserve">☐  </w:t>
      </w:r>
      <w:r>
        <w:rPr>
          <w:rFonts w:ascii="Arial" w:hAnsi="Arial"/>
          <w:color w:val="0F172A"/>
          <w:sz w:val="21"/>
        </w:rPr>
        <w:t>Data-handling basics: where user data lives, who can access it, breach plan.</w:t>
      </w:r>
    </w:p>
    <w:p>
      <w:pPr>
        <w:spacing w:after="80"/>
        <w:ind w:left="432"/>
      </w:pPr>
      <w:r>
        <w:rPr>
          <w:rFonts w:ascii="Arial" w:hAnsi="Arial"/>
          <w:i/>
          <w:color w:val="64748B"/>
          <w:sz w:val="19"/>
        </w:rPr>
        <w:t>Why: investors increasingly ask, even pre-seed.</w:t>
      </w:r>
    </w:p>
    <w:p>
      <w:pPr>
        <w:spacing w:after="40"/>
      </w:pPr>
      <w:r>
        <w:rPr>
          <w:rFonts w:ascii="Arial" w:hAnsi="Arial"/>
          <w:color w:val="0F172A"/>
          <w:sz w:val="24"/>
        </w:rPr>
        <w:t xml:space="preserve">☐  </w:t>
      </w:r>
      <w:r>
        <w:rPr>
          <w:rFonts w:ascii="Arial" w:hAnsi="Arial"/>
          <w:color w:val="0F172A"/>
          <w:sz w:val="21"/>
        </w:rPr>
        <w:t>Any sector-specific regulations identified (healthcare, fintech, biotech, education).</w:t>
      </w:r>
    </w:p>
    <w:p>
      <w:pPr>
        <w:spacing w:after="80"/>
        <w:ind w:left="432"/>
      </w:pPr>
      <w:r>
        <w:rPr>
          <w:rFonts w:ascii="Arial" w:hAnsi="Arial"/>
          <w:i/>
          <w:color w:val="64748B"/>
          <w:sz w:val="19"/>
        </w:rPr>
        <w:t>Why: you should know what regime applies before you go to market.</w:t>
      </w:r>
    </w:p>
    <w:p>
      <w:r>
        <w:br w:type="page"/>
      </w:r>
    </w:p>
    <w:p>
      <w:pPr>
        <w:spacing w:before="240" w:after="80"/>
      </w:pPr>
      <w:r>
        <w:rPr>
          <w:rFonts w:ascii="Arial" w:hAnsi="Arial"/>
          <w:b/>
          <w:color w:val="0F172A"/>
          <w:sz w:val="28"/>
        </w:rPr>
        <w:t>Sign-off</w:t>
      </w:r>
    </w:p>
    <w:p>
      <w:pPr>
        <w:spacing w:after="80"/>
      </w:pPr>
      <w:r>
        <w:rPr>
          <w:rFonts w:ascii="Arial" w:hAnsi="Arial"/>
          <w:i w:val="0"/>
          <w:color w:val="64748B"/>
          <w:sz w:val="21"/>
        </w:rPr>
        <w:t>Once everything above is checked, the founders sign below. This is a working artifact, not a legal one - it just forces you to actually walk the list before raising.</w:t>
      </w:r>
    </w:p>
    <w:tbl>
      <w:tblPr>
        <w:tblW w:type="auto" w:w="0"/>
        <w:tblLook w:firstColumn="1" w:firstRow="1" w:lastColumn="0" w:lastRow="0" w:noHBand="0" w:noVBand="1" w:val="04A0"/>
      </w:tblPr>
      <w:tblGrid>
        <w:gridCol w:w="10080"/>
      </w:tblGrid>
      <w:tr>
        <w:tc>
          <w:tcPr>
            <w:tcW w:type="dxa" w:w="10080"/>
            <w:shd w:val="clear" w:color="auto" w:fill="E2E8F0"/>
            <w:tcBorders>
              <w:top w:val="single" w:sz="6" w:color="D8DCE5"/>
              <w:left w:val="single" w:sz="6" w:color="D8DCE5"/>
              <w:bottom w:val="single" w:sz="6" w:color="D8DCE5"/>
              <w:right w:val="single" w:sz="6" w:color="D8DCE5"/>
            </w:tcBorders>
          </w:tcPr>
          <w:p>
            <w:pPr>
              <w:spacing w:after="40"/>
            </w:pPr>
            <w:r/>
            <w:r>
              <w:rPr>
                <w:rFonts w:ascii="Arial" w:hAnsi="Arial"/>
                <w:b/>
                <w:color w:val="0F172A"/>
                <w:sz w:val="19"/>
              </w:rPr>
              <w:t>Founder 1 name + date</w:t>
            </w:r>
          </w:p>
        </w:tc>
      </w:tr>
    </w:tbl>
    <w:tbl>
      <w:tblPr>
        <w:tblW w:type="auto" w:w="0"/>
        <w:tblLook w:firstColumn="1" w:firstRow="1" w:lastColumn="0" w:lastRow="0" w:noHBand="0" w:noVBand="1" w:val="04A0"/>
      </w:tblPr>
      <w:tblGrid>
        <w:gridCol w:w="10080"/>
      </w:tblGrid>
      <w:tr>
        <w:tc>
          <w:tcPr>
            <w:tcW w:type="dxa" w:w="10080"/>
            <w:tcBorders>
              <w:top w:val="single" w:sz="0" w:color="FFFFFF"/>
              <w:left w:val="single" w:sz="0" w:color="FFFFFF"/>
              <w:bottom w:val="single" w:sz="0" w:color="FFFFFF"/>
              <w:right w:val="single" w:sz="0" w:color="FFFFFF"/>
            </w:tcBorders>
          </w:tcPr>
          <w:p>
            <w:r/>
          </w:p>
        </w:tc>
      </w:tr>
      <w:tr>
        <w:tc>
          <w:tcPr>
            <w:tcW w:type="dxa" w:w="10080"/>
            <w:tcBorders>
              <w:top w:val="single" w:sz="0" w:color="FFFFFF"/>
              <w:left w:val="single" w:sz="0" w:color="FFFFFF"/>
              <w:bottom w:val="single" w:sz="0" w:color="FFFFFF"/>
              <w:right w:val="single" w:sz="0" w:color="FFFFFF"/>
            </w:tcBorders>
          </w:tcPr>
          <w:p>
            <w:r/>
          </w:p>
        </w:tc>
      </w:tr>
      <w:tr>
        <w:tc>
          <w:tcPr>
            <w:tcW w:type="dxa" w:w="10080"/>
            <w:tcBorders>
              <w:top w:val="single" w:sz="0" w:color="FFFFFF"/>
              <w:left w:val="single" w:sz="0" w:color="FFFFFF"/>
              <w:bottom w:val="single" w:sz="0" w:color="FFFFFF"/>
              <w:right w:val="single" w:sz="0" w:color="FFFFFF"/>
            </w:tcBorders>
          </w:tcPr>
          <w:p>
            <w:r/>
          </w:p>
        </w:tc>
      </w:tr>
    </w:tbl>
    <w:p/>
    <w:tbl>
      <w:tblPr>
        <w:tblW w:type="auto" w:w="0"/>
        <w:tblLook w:firstColumn="1" w:firstRow="1" w:lastColumn="0" w:lastRow="0" w:noHBand="0" w:noVBand="1" w:val="04A0"/>
      </w:tblPr>
      <w:tblGrid>
        <w:gridCol w:w="10080"/>
      </w:tblGrid>
      <w:tr>
        <w:tc>
          <w:tcPr>
            <w:tcW w:type="dxa" w:w="10080"/>
            <w:shd w:val="clear" w:color="auto" w:fill="E2E8F0"/>
            <w:tcBorders>
              <w:top w:val="single" w:sz="6" w:color="D8DCE5"/>
              <w:left w:val="single" w:sz="6" w:color="D8DCE5"/>
              <w:bottom w:val="single" w:sz="6" w:color="D8DCE5"/>
              <w:right w:val="single" w:sz="6" w:color="D8DCE5"/>
            </w:tcBorders>
          </w:tcPr>
          <w:p>
            <w:pPr>
              <w:spacing w:after="40"/>
            </w:pPr>
            <w:r/>
            <w:r>
              <w:rPr>
                <w:rFonts w:ascii="Arial" w:hAnsi="Arial"/>
                <w:b/>
                <w:color w:val="0F172A"/>
                <w:sz w:val="19"/>
              </w:rPr>
              <w:t>Founder 2 name + date</w:t>
            </w:r>
          </w:p>
        </w:tc>
      </w:tr>
    </w:tbl>
    <w:tbl>
      <w:tblPr>
        <w:tblW w:type="auto" w:w="0"/>
        <w:tblLook w:firstColumn="1" w:firstRow="1" w:lastColumn="0" w:lastRow="0" w:noHBand="0" w:noVBand="1" w:val="04A0"/>
      </w:tblPr>
      <w:tblGrid>
        <w:gridCol w:w="10080"/>
      </w:tblGrid>
      <w:tr>
        <w:tc>
          <w:tcPr>
            <w:tcW w:type="dxa" w:w="10080"/>
            <w:tcBorders>
              <w:top w:val="single" w:sz="0" w:color="FFFFFF"/>
              <w:left w:val="single" w:sz="0" w:color="FFFFFF"/>
              <w:bottom w:val="single" w:sz="0" w:color="FFFFFF"/>
              <w:right w:val="single" w:sz="0" w:color="FFFFFF"/>
            </w:tcBorders>
          </w:tcPr>
          <w:p>
            <w:r/>
          </w:p>
        </w:tc>
      </w:tr>
      <w:tr>
        <w:tc>
          <w:tcPr>
            <w:tcW w:type="dxa" w:w="10080"/>
            <w:tcBorders>
              <w:top w:val="single" w:sz="0" w:color="FFFFFF"/>
              <w:left w:val="single" w:sz="0" w:color="FFFFFF"/>
              <w:bottom w:val="single" w:sz="0" w:color="FFFFFF"/>
              <w:right w:val="single" w:sz="0" w:color="FFFFFF"/>
            </w:tcBorders>
          </w:tcPr>
          <w:p>
            <w:r/>
          </w:p>
        </w:tc>
      </w:tr>
      <w:tr>
        <w:tc>
          <w:tcPr>
            <w:tcW w:type="dxa" w:w="10080"/>
            <w:tcBorders>
              <w:top w:val="single" w:sz="0" w:color="FFFFFF"/>
              <w:left w:val="single" w:sz="0" w:color="FFFFFF"/>
              <w:bottom w:val="single" w:sz="0" w:color="FFFFFF"/>
              <w:right w:val="single" w:sz="0" w:color="FFFFFF"/>
            </w:tcBorders>
          </w:tcPr>
          <w:p>
            <w:r/>
          </w:p>
        </w:tc>
      </w:tr>
    </w:tbl>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